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29" w:rsidRPr="00814E29" w:rsidRDefault="00814E29" w:rsidP="00814E2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  <w:shd w:val="clear" w:color="auto" w:fill="FFFFFF"/>
        </w:rPr>
        <w:t>V</w:t>
      </w:r>
      <w:r w:rsidRPr="00814E29">
        <w:rPr>
          <w:sz w:val="28"/>
          <w:szCs w:val="28"/>
        </w:rPr>
        <w:t xml:space="preserve"> Республиканский форум СО НКО состоялся с 5 июля по 23 августа 2022 года. В форуме в гибридном формате приняли участие более 1500 представителей социально-ориентированных некоммерческих организаций, членов Общественной палаты Республики Татарстан, представителей депутатского корпуса, органов государственной власти и местного самоуправления, общественных советов муниципальных образований, общественных советов при министерствах и ведомствах республики, бизнеса, научного сообщества, средств массовой информации.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 xml:space="preserve">Прошло 13 секционных заседаний, круглых столов, панельных дискуссий в 6 муниципальных образованиях (г. Казань, Набережные Челны, Альметьевск, Болгар, Елабуга и с. </w:t>
      </w:r>
      <w:proofErr w:type="spellStart"/>
      <w:r w:rsidRPr="00814E29">
        <w:rPr>
          <w:sz w:val="28"/>
          <w:szCs w:val="28"/>
        </w:rPr>
        <w:t>Актаныш</w:t>
      </w:r>
      <w:proofErr w:type="spellEnd"/>
      <w:r w:rsidRPr="00814E29">
        <w:rPr>
          <w:sz w:val="28"/>
          <w:szCs w:val="28"/>
        </w:rPr>
        <w:t>):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- 5.07.2022 секция «Роль НКО в культуре: инновационные и инклюзивные практики общественных организаций и гражданских активистов»;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- 12.07.2022 секция «Тема патриотического воспитания в проектах СО НКО, общественных организаций, гражданских активистов: лучшие практики и потенциал развития»;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- 15.07.2022 секция «Повышение компетенций специалистов некоммерческого сектора как драйвер развития социальной сферы»;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- 19.07.2022 панельная дискуссия «Взаимодействие власти, НКО и науки в реализации демографической политики»;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- 21.07.2022 всероссийская научно-практическая конференция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814E29">
        <w:rPr>
          <w:sz w:val="28"/>
          <w:szCs w:val="28"/>
        </w:rPr>
        <w:t>«Власть, общество и бизнес против коррупции. Практика и перспективы»;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- 26.07.2022 круглый стол «Вовлечение жителей многоквартирного дома в процесс управления. Механизмы ТСЖ и управляющих компаний»;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- 29.07.2022 секция «</w:t>
      </w:r>
      <w:r w:rsidRPr="00814E29">
        <w:rPr>
          <w:rFonts w:eastAsia="Calibri"/>
          <w:sz w:val="28"/>
          <w:szCs w:val="28"/>
        </w:rPr>
        <w:t>Актуальные вопросы участия СО НКО в контрактной системе в сфере закупок товаров, работ, услуг для государственных и муниципальных нужд</w:t>
      </w:r>
      <w:r w:rsidRPr="00814E29">
        <w:rPr>
          <w:sz w:val="28"/>
          <w:szCs w:val="28"/>
        </w:rPr>
        <w:t>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- 3.08.2022 секция «Решение социальных вопросов муниципалитета – потенциал НКО и его реализация»;</w:t>
      </w:r>
    </w:p>
    <w:p w:rsidR="00814E29" w:rsidRPr="00814E29" w:rsidRDefault="00814E29" w:rsidP="00814E29">
      <w:pPr>
        <w:ind w:firstLine="709"/>
        <w:jc w:val="both"/>
        <w:rPr>
          <w:rFonts w:eastAsia="Calibri"/>
          <w:sz w:val="28"/>
          <w:szCs w:val="28"/>
        </w:rPr>
      </w:pPr>
      <w:r w:rsidRPr="00814E29">
        <w:rPr>
          <w:sz w:val="28"/>
          <w:szCs w:val="28"/>
        </w:rPr>
        <w:t xml:space="preserve">- 5.08.2022 секция </w:t>
      </w:r>
      <w:r w:rsidRPr="00814E29">
        <w:rPr>
          <w:rFonts w:eastAsia="Calibri"/>
          <w:sz w:val="28"/>
          <w:szCs w:val="28"/>
        </w:rPr>
        <w:t>«Городская среда для детей и взрослых с ограниченными возможностями здоровья: эффективные практики взаимодействия НКО и органов власти»;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- 9.08.2022 секция «Бизнес, власть и НКО: опыт сотрудничества и перспективы»;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- 11.08.2022 секция «Диалог общества и государства в вопросах благоустройства территорий (на примере деятельности ТОС)»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- 11.08.2022 секция «Социализация детей с ограниченными возможностями здоровья через участие в культурно-просветительских проектах»;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>- 17.08.2022 круглый стол «Диалог власти и МСП как залог развития гражданского общества в Республике Татарстан. Опыт и перспективы».</w:t>
      </w:r>
    </w:p>
    <w:p w:rsidR="00814E29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 xml:space="preserve">Рассматривались важные вопросы, непосредственно касающиеся развития гражданского общества, создания условий для эффективной работы социально-ориентированных некоммерческих организаций, организации </w:t>
      </w:r>
      <w:r w:rsidRPr="00814E29">
        <w:rPr>
          <w:sz w:val="28"/>
          <w:szCs w:val="28"/>
        </w:rPr>
        <w:lastRenderedPageBreak/>
        <w:t xml:space="preserve">взаимодействия между общественными организациями, органами власти, бизнесом и СМИ, отмечен рост внимания и поддержки, оказываемой третьему сектору со </w:t>
      </w:r>
      <w:proofErr w:type="spellStart"/>
      <w:r w:rsidRPr="00814E29">
        <w:rPr>
          <w:sz w:val="28"/>
          <w:szCs w:val="28"/>
        </w:rPr>
        <w:t>сторооны</w:t>
      </w:r>
      <w:proofErr w:type="spellEnd"/>
      <w:r w:rsidRPr="00814E29">
        <w:rPr>
          <w:sz w:val="28"/>
          <w:szCs w:val="28"/>
        </w:rPr>
        <w:t xml:space="preserve"> руководства республики. Выработано более 130 предложений, большинство предложений направлено на улучшение жизни каждого конкретного гражданина или малых групп, объединенных одной проблемой, а не самих НКО. </w:t>
      </w:r>
    </w:p>
    <w:p w:rsidR="00041544" w:rsidRPr="00814E29" w:rsidRDefault="00814E29" w:rsidP="00814E29">
      <w:pPr>
        <w:ind w:firstLine="709"/>
        <w:jc w:val="both"/>
        <w:rPr>
          <w:sz w:val="28"/>
          <w:szCs w:val="28"/>
        </w:rPr>
      </w:pPr>
      <w:r w:rsidRPr="00814E29">
        <w:rPr>
          <w:sz w:val="28"/>
          <w:szCs w:val="28"/>
        </w:rPr>
        <w:t xml:space="preserve">Пленарное заседание форума состоялось 23 августа 2022 года в Государственном совете Республики Татарстан с участием Председателя Государственного совета Республики Татарстан Ф.Х. </w:t>
      </w:r>
      <w:proofErr w:type="spellStart"/>
      <w:r w:rsidRPr="00814E29">
        <w:rPr>
          <w:sz w:val="28"/>
          <w:szCs w:val="28"/>
        </w:rPr>
        <w:t>Мухаметшина</w:t>
      </w:r>
      <w:proofErr w:type="spellEnd"/>
      <w:r w:rsidRPr="00814E29">
        <w:rPr>
          <w:sz w:val="28"/>
          <w:szCs w:val="28"/>
        </w:rPr>
        <w:t>, Председателя Комиссии по развитию некоммерческого сектора и поддержке социально ориентированных НКО ОП РФ Е.А. Тополевой-</w:t>
      </w:r>
      <w:proofErr w:type="spellStart"/>
      <w:r w:rsidRPr="00814E29">
        <w:rPr>
          <w:sz w:val="28"/>
          <w:szCs w:val="28"/>
        </w:rPr>
        <w:t>Солдуновой</w:t>
      </w:r>
      <w:proofErr w:type="spellEnd"/>
      <w:r w:rsidRPr="00814E29">
        <w:rPr>
          <w:sz w:val="28"/>
          <w:szCs w:val="28"/>
        </w:rPr>
        <w:t xml:space="preserve">, заместителя Руководителя Аппарата Президента Республики Татарстан – руководителя Департамента Президента Республики Татарстан по вопросам внутренней политики А.М. Терентьева, представителей Правительства Республики Татарстан. По итогам форума принята резолюция, которая направлена Президенту Республики Татарстан Р.Н. </w:t>
      </w:r>
      <w:proofErr w:type="spellStart"/>
      <w:r w:rsidRPr="00814E29">
        <w:rPr>
          <w:sz w:val="28"/>
          <w:szCs w:val="28"/>
        </w:rPr>
        <w:t>Минниханову</w:t>
      </w:r>
      <w:proofErr w:type="spellEnd"/>
      <w:r w:rsidRPr="00814E29">
        <w:rPr>
          <w:sz w:val="28"/>
          <w:szCs w:val="28"/>
        </w:rPr>
        <w:t xml:space="preserve">, председателю Государственного совета Республики Татарстан Ф.Х. </w:t>
      </w:r>
      <w:proofErr w:type="spellStart"/>
      <w:r w:rsidRPr="00814E29">
        <w:rPr>
          <w:sz w:val="28"/>
          <w:szCs w:val="28"/>
        </w:rPr>
        <w:t>Мухаметшину</w:t>
      </w:r>
      <w:proofErr w:type="spellEnd"/>
      <w:r w:rsidRPr="00814E29">
        <w:rPr>
          <w:sz w:val="28"/>
          <w:szCs w:val="28"/>
        </w:rPr>
        <w:t xml:space="preserve">, премьер-министру Республики Татарстан А.В. </w:t>
      </w:r>
      <w:proofErr w:type="spellStart"/>
      <w:r w:rsidRPr="00814E29">
        <w:rPr>
          <w:sz w:val="28"/>
          <w:szCs w:val="28"/>
        </w:rPr>
        <w:t>Песошину</w:t>
      </w:r>
      <w:proofErr w:type="spellEnd"/>
      <w:r w:rsidRPr="00814E29">
        <w:rPr>
          <w:sz w:val="28"/>
          <w:szCs w:val="28"/>
        </w:rPr>
        <w:t>.</w:t>
      </w:r>
    </w:p>
    <w:sectPr w:rsidR="00041544" w:rsidRPr="008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62"/>
    <w:rsid w:val="00814E29"/>
    <w:rsid w:val="00827862"/>
    <w:rsid w:val="00A50596"/>
    <w:rsid w:val="00E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8A73"/>
  <w15:chartTrackingRefBased/>
  <w15:docId w15:val="{72015DC9-C611-4664-8586-F07C2128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П. Хабарова</dc:creator>
  <cp:keywords/>
  <dc:description/>
  <cp:lastModifiedBy>Раиса П. Хабарова</cp:lastModifiedBy>
  <cp:revision>2</cp:revision>
  <dcterms:created xsi:type="dcterms:W3CDTF">2022-10-11T09:02:00Z</dcterms:created>
  <dcterms:modified xsi:type="dcterms:W3CDTF">2022-10-11T09:03:00Z</dcterms:modified>
</cp:coreProperties>
</file>